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30" w:rsidRPr="00E85000" w:rsidRDefault="00902530" w:rsidP="00902530">
      <w:pPr>
        <w:spacing w:after="0" w:line="240" w:lineRule="auto"/>
        <w:jc w:val="center"/>
        <w:rPr>
          <w:rFonts w:ascii="Arial" w:hAnsi="Arial" w:cs="Arial"/>
          <w:sz w:val="24"/>
          <w:szCs w:val="24"/>
        </w:rPr>
      </w:pPr>
      <w:bookmarkStart w:id="0" w:name="_GoBack"/>
      <w:bookmarkEnd w:id="0"/>
      <w:r w:rsidRPr="00E85000">
        <w:rPr>
          <w:rFonts w:ascii="Arial" w:hAnsi="Arial" w:cs="Arial"/>
          <w:sz w:val="24"/>
          <w:szCs w:val="24"/>
        </w:rPr>
        <w:t>Prime Minister’s Office</w:t>
      </w:r>
    </w:p>
    <w:p w:rsidR="00902530" w:rsidRPr="00E85000" w:rsidRDefault="00902530" w:rsidP="00902530">
      <w:pPr>
        <w:spacing w:after="0" w:line="240" w:lineRule="auto"/>
        <w:jc w:val="center"/>
        <w:rPr>
          <w:rFonts w:ascii="Arial" w:hAnsi="Arial" w:cs="Arial"/>
          <w:sz w:val="24"/>
          <w:szCs w:val="24"/>
        </w:rPr>
      </w:pPr>
      <w:r w:rsidRPr="00E85000">
        <w:rPr>
          <w:rFonts w:ascii="Arial" w:hAnsi="Arial" w:cs="Arial"/>
          <w:sz w:val="24"/>
          <w:szCs w:val="24"/>
        </w:rPr>
        <w:t>Board of Investment</w:t>
      </w:r>
    </w:p>
    <w:p w:rsidR="00902530" w:rsidRDefault="00902530" w:rsidP="00902530">
      <w:pPr>
        <w:spacing w:after="0" w:line="240" w:lineRule="auto"/>
        <w:jc w:val="center"/>
        <w:rPr>
          <w:rFonts w:ascii="Arial" w:hAnsi="Arial" w:cs="Arial"/>
          <w:sz w:val="24"/>
          <w:szCs w:val="24"/>
        </w:rPr>
      </w:pPr>
      <w:r w:rsidRPr="00E85000">
        <w:rPr>
          <w:rFonts w:ascii="Arial" w:hAnsi="Arial" w:cs="Arial"/>
          <w:sz w:val="24"/>
          <w:szCs w:val="24"/>
        </w:rPr>
        <w:t>***</w:t>
      </w:r>
    </w:p>
    <w:p w:rsidR="00557679" w:rsidRPr="00E85000" w:rsidRDefault="00557679" w:rsidP="00902530">
      <w:pPr>
        <w:spacing w:after="0" w:line="240" w:lineRule="auto"/>
        <w:jc w:val="center"/>
        <w:rPr>
          <w:rFonts w:ascii="Arial" w:hAnsi="Arial" w:cs="Arial"/>
          <w:sz w:val="24"/>
          <w:szCs w:val="24"/>
        </w:rPr>
      </w:pPr>
    </w:p>
    <w:p w:rsidR="00902530" w:rsidRPr="0016774A" w:rsidRDefault="00902530" w:rsidP="00902530">
      <w:pPr>
        <w:spacing w:after="0" w:line="240" w:lineRule="auto"/>
        <w:jc w:val="center"/>
        <w:rPr>
          <w:rFonts w:ascii="Arial" w:hAnsi="Arial" w:cs="Arial"/>
          <w:b/>
          <w:sz w:val="24"/>
          <w:szCs w:val="24"/>
        </w:rPr>
      </w:pPr>
      <w:r w:rsidRPr="0016774A">
        <w:rPr>
          <w:rFonts w:ascii="Arial" w:hAnsi="Arial" w:cs="Arial"/>
          <w:b/>
          <w:sz w:val="24"/>
          <w:szCs w:val="24"/>
        </w:rPr>
        <w:t xml:space="preserve">PRESS RELEASE </w:t>
      </w:r>
    </w:p>
    <w:p w:rsidR="00902530" w:rsidRPr="0054306D" w:rsidRDefault="00902530" w:rsidP="00902530">
      <w:pPr>
        <w:rPr>
          <w:rFonts w:ascii="Arial" w:hAnsi="Arial" w:cs="Arial"/>
          <w:b/>
          <w:sz w:val="16"/>
          <w:szCs w:val="16"/>
          <w:u w:val="single"/>
        </w:rPr>
      </w:pPr>
    </w:p>
    <w:p w:rsidR="00410A74" w:rsidRDefault="00410A74" w:rsidP="00731AC8">
      <w:pPr>
        <w:spacing w:after="0"/>
        <w:jc w:val="both"/>
        <w:rPr>
          <w:rFonts w:ascii="Arial" w:hAnsi="Arial" w:cs="Arial"/>
          <w:sz w:val="24"/>
          <w:szCs w:val="24"/>
        </w:rPr>
      </w:pPr>
    </w:p>
    <w:p w:rsidR="00557679" w:rsidRPr="00410A74" w:rsidRDefault="005B055C" w:rsidP="00410A74">
      <w:pPr>
        <w:jc w:val="both"/>
        <w:rPr>
          <w:rFonts w:ascii="Arial" w:hAnsi="Arial" w:cs="Arial"/>
          <w:b/>
          <w:sz w:val="32"/>
          <w:szCs w:val="24"/>
          <w:u w:val="single"/>
        </w:rPr>
      </w:pPr>
      <w:r w:rsidRPr="005B055C">
        <w:rPr>
          <w:rFonts w:ascii="Arial" w:hAnsi="Arial" w:cs="Arial"/>
          <w:b/>
          <w:sz w:val="32"/>
          <w:szCs w:val="24"/>
          <w:u w:val="single"/>
        </w:rPr>
        <w:t>Al Motahaden Petroleum Refineries (</w:t>
      </w:r>
      <w:r w:rsidR="00410A74" w:rsidRPr="00410A74">
        <w:rPr>
          <w:rFonts w:ascii="Arial" w:hAnsi="Arial" w:cs="Arial"/>
          <w:b/>
          <w:sz w:val="32"/>
          <w:szCs w:val="24"/>
          <w:u w:val="single"/>
        </w:rPr>
        <w:t>AMPR</w:t>
      </w:r>
      <w:r>
        <w:rPr>
          <w:rFonts w:ascii="Arial" w:hAnsi="Arial" w:cs="Arial"/>
          <w:b/>
          <w:sz w:val="32"/>
          <w:szCs w:val="24"/>
          <w:u w:val="single"/>
        </w:rPr>
        <w:t>)</w:t>
      </w:r>
      <w:r w:rsidR="00410A74" w:rsidRPr="00410A74">
        <w:rPr>
          <w:rFonts w:ascii="Arial" w:hAnsi="Arial" w:cs="Arial"/>
          <w:b/>
          <w:sz w:val="32"/>
          <w:szCs w:val="24"/>
          <w:u w:val="single"/>
        </w:rPr>
        <w:t xml:space="preserve">, UAE </w:t>
      </w:r>
      <w:r w:rsidR="009E7A08" w:rsidRPr="00410A74">
        <w:rPr>
          <w:rFonts w:ascii="Arial" w:hAnsi="Arial" w:cs="Arial"/>
          <w:b/>
          <w:sz w:val="32"/>
          <w:szCs w:val="24"/>
          <w:u w:val="single"/>
        </w:rPr>
        <w:t>Firm w</w:t>
      </w:r>
      <w:r w:rsidR="009E7A08">
        <w:rPr>
          <w:rFonts w:ascii="Arial" w:hAnsi="Arial" w:cs="Arial"/>
          <w:b/>
          <w:sz w:val="32"/>
          <w:szCs w:val="24"/>
          <w:u w:val="single"/>
        </w:rPr>
        <w:t>ill</w:t>
      </w:r>
      <w:r w:rsidR="009E7A08" w:rsidRPr="00410A74">
        <w:rPr>
          <w:rFonts w:ascii="Arial" w:hAnsi="Arial" w:cs="Arial"/>
          <w:b/>
          <w:sz w:val="32"/>
          <w:szCs w:val="24"/>
          <w:u w:val="single"/>
        </w:rPr>
        <w:t xml:space="preserve"> Invest 500 Million U</w:t>
      </w:r>
      <w:r w:rsidR="009E7A08">
        <w:rPr>
          <w:rFonts w:ascii="Arial" w:hAnsi="Arial" w:cs="Arial"/>
          <w:b/>
          <w:sz w:val="32"/>
          <w:szCs w:val="24"/>
          <w:u w:val="single"/>
        </w:rPr>
        <w:t>S</w:t>
      </w:r>
      <w:r w:rsidR="009E7A08" w:rsidRPr="00410A74">
        <w:rPr>
          <w:rFonts w:ascii="Arial" w:hAnsi="Arial" w:cs="Arial"/>
          <w:b/>
          <w:sz w:val="32"/>
          <w:szCs w:val="24"/>
          <w:u w:val="single"/>
        </w:rPr>
        <w:t xml:space="preserve">$ </w:t>
      </w:r>
      <w:r w:rsidR="009E7A08">
        <w:rPr>
          <w:rFonts w:ascii="Arial" w:hAnsi="Arial" w:cs="Arial"/>
          <w:b/>
          <w:sz w:val="32"/>
          <w:szCs w:val="24"/>
          <w:u w:val="single"/>
        </w:rPr>
        <w:t>f</w:t>
      </w:r>
      <w:r w:rsidR="009E7A08" w:rsidRPr="00410A74">
        <w:rPr>
          <w:rFonts w:ascii="Arial" w:hAnsi="Arial" w:cs="Arial"/>
          <w:b/>
          <w:sz w:val="32"/>
          <w:szCs w:val="24"/>
          <w:u w:val="single"/>
        </w:rPr>
        <w:t xml:space="preserve">or Setting Up </w:t>
      </w:r>
      <w:r w:rsidR="009E7A08">
        <w:rPr>
          <w:rFonts w:ascii="Arial" w:hAnsi="Arial" w:cs="Arial"/>
          <w:b/>
          <w:sz w:val="32"/>
          <w:szCs w:val="24"/>
          <w:u w:val="single"/>
        </w:rPr>
        <w:t>a</w:t>
      </w:r>
      <w:r w:rsidR="009E7A08" w:rsidRPr="00410A74">
        <w:rPr>
          <w:rFonts w:ascii="Arial" w:hAnsi="Arial" w:cs="Arial"/>
          <w:b/>
          <w:sz w:val="32"/>
          <w:szCs w:val="24"/>
          <w:u w:val="single"/>
        </w:rPr>
        <w:t xml:space="preserve">n Oil Refinery </w:t>
      </w:r>
      <w:r w:rsidR="009E7A08">
        <w:rPr>
          <w:rFonts w:ascii="Arial" w:hAnsi="Arial" w:cs="Arial"/>
          <w:b/>
          <w:sz w:val="32"/>
          <w:szCs w:val="24"/>
          <w:u w:val="single"/>
        </w:rPr>
        <w:t>i</w:t>
      </w:r>
      <w:r w:rsidR="009E7A08" w:rsidRPr="00410A74">
        <w:rPr>
          <w:rFonts w:ascii="Arial" w:hAnsi="Arial" w:cs="Arial"/>
          <w:b/>
          <w:sz w:val="32"/>
          <w:szCs w:val="24"/>
          <w:u w:val="single"/>
        </w:rPr>
        <w:t xml:space="preserve">n Pakistan </w:t>
      </w:r>
      <w:r w:rsidR="009E7A08">
        <w:rPr>
          <w:rFonts w:ascii="Arial" w:hAnsi="Arial" w:cs="Arial"/>
          <w:b/>
          <w:sz w:val="32"/>
          <w:szCs w:val="24"/>
          <w:u w:val="single"/>
        </w:rPr>
        <w:t>p</w:t>
      </w:r>
      <w:r w:rsidR="009E7A08" w:rsidRPr="00410A74">
        <w:rPr>
          <w:rFonts w:ascii="Arial" w:hAnsi="Arial" w:cs="Arial"/>
          <w:b/>
          <w:sz w:val="32"/>
          <w:szCs w:val="24"/>
          <w:u w:val="single"/>
        </w:rPr>
        <w:t xml:space="preserve">referably </w:t>
      </w:r>
      <w:r w:rsidR="009E7A08">
        <w:rPr>
          <w:rFonts w:ascii="Arial" w:hAnsi="Arial" w:cs="Arial"/>
          <w:b/>
          <w:sz w:val="32"/>
          <w:szCs w:val="24"/>
          <w:u w:val="single"/>
        </w:rPr>
        <w:t>in t</w:t>
      </w:r>
      <w:r w:rsidR="009E7A08" w:rsidRPr="00410A74">
        <w:rPr>
          <w:rFonts w:ascii="Arial" w:hAnsi="Arial" w:cs="Arial"/>
          <w:b/>
          <w:sz w:val="32"/>
          <w:szCs w:val="24"/>
          <w:u w:val="single"/>
        </w:rPr>
        <w:t xml:space="preserve">he Province </w:t>
      </w:r>
      <w:r w:rsidR="009E7A08">
        <w:rPr>
          <w:rFonts w:ascii="Arial" w:hAnsi="Arial" w:cs="Arial"/>
          <w:b/>
          <w:sz w:val="32"/>
          <w:szCs w:val="24"/>
          <w:u w:val="single"/>
        </w:rPr>
        <w:t>o</w:t>
      </w:r>
      <w:r w:rsidR="009E7A08" w:rsidRPr="00410A74">
        <w:rPr>
          <w:rFonts w:ascii="Arial" w:hAnsi="Arial" w:cs="Arial"/>
          <w:b/>
          <w:sz w:val="32"/>
          <w:szCs w:val="24"/>
          <w:u w:val="single"/>
        </w:rPr>
        <w:t>f K</w:t>
      </w:r>
      <w:r w:rsidR="009E7A08">
        <w:rPr>
          <w:rFonts w:ascii="Arial" w:hAnsi="Arial" w:cs="Arial"/>
          <w:b/>
          <w:sz w:val="32"/>
          <w:szCs w:val="24"/>
          <w:u w:val="single"/>
        </w:rPr>
        <w:t>PK.</w:t>
      </w:r>
    </w:p>
    <w:p w:rsidR="00410A74" w:rsidRDefault="00410A74" w:rsidP="00731AC8">
      <w:pPr>
        <w:spacing w:after="0"/>
        <w:jc w:val="both"/>
        <w:rPr>
          <w:rFonts w:ascii="Arial" w:hAnsi="Arial" w:cs="Arial"/>
          <w:b/>
          <w:sz w:val="26"/>
          <w:szCs w:val="26"/>
          <w:u w:val="single"/>
        </w:rPr>
      </w:pPr>
    </w:p>
    <w:p w:rsidR="00FD4A7E" w:rsidRDefault="00902530" w:rsidP="00C7626A">
      <w:pPr>
        <w:spacing w:after="0" w:line="360" w:lineRule="auto"/>
        <w:jc w:val="both"/>
        <w:rPr>
          <w:rFonts w:ascii="Arial" w:hAnsi="Arial" w:cs="Arial"/>
          <w:sz w:val="24"/>
          <w:szCs w:val="24"/>
        </w:rPr>
      </w:pPr>
      <w:r w:rsidRPr="0074015C">
        <w:rPr>
          <w:rFonts w:ascii="Arial" w:hAnsi="Arial" w:cs="Arial"/>
          <w:b/>
          <w:sz w:val="26"/>
          <w:szCs w:val="26"/>
          <w:u w:val="single"/>
        </w:rPr>
        <w:t xml:space="preserve">Islamabad </w:t>
      </w:r>
      <w:r>
        <w:rPr>
          <w:rFonts w:ascii="Arial" w:hAnsi="Arial" w:cs="Arial"/>
          <w:b/>
          <w:sz w:val="26"/>
          <w:szCs w:val="26"/>
          <w:u w:val="single"/>
        </w:rPr>
        <w:t>December</w:t>
      </w:r>
      <w:r w:rsidRPr="0074015C">
        <w:rPr>
          <w:rFonts w:ascii="Arial" w:hAnsi="Arial" w:cs="Arial"/>
          <w:b/>
          <w:sz w:val="26"/>
          <w:szCs w:val="26"/>
          <w:u w:val="single"/>
        </w:rPr>
        <w:t xml:space="preserve"> </w:t>
      </w:r>
      <w:r w:rsidR="00557679">
        <w:rPr>
          <w:rFonts w:ascii="Arial" w:hAnsi="Arial" w:cs="Arial"/>
          <w:b/>
          <w:sz w:val="26"/>
          <w:szCs w:val="26"/>
          <w:u w:val="single"/>
        </w:rPr>
        <w:t>10</w:t>
      </w:r>
      <w:r w:rsidRPr="00A36D6D">
        <w:rPr>
          <w:rFonts w:ascii="Arial" w:hAnsi="Arial" w:cs="Arial"/>
          <w:b/>
          <w:sz w:val="26"/>
          <w:szCs w:val="26"/>
          <w:u w:val="single"/>
          <w:vertAlign w:val="superscript"/>
        </w:rPr>
        <w:t>th</w:t>
      </w:r>
      <w:r w:rsidRPr="0074015C">
        <w:rPr>
          <w:rFonts w:ascii="Arial" w:hAnsi="Arial" w:cs="Arial"/>
          <w:b/>
          <w:sz w:val="26"/>
          <w:szCs w:val="26"/>
          <w:u w:val="single"/>
        </w:rPr>
        <w:t>, 2015:</w:t>
      </w:r>
      <w:r w:rsidRPr="0074015C">
        <w:rPr>
          <w:rFonts w:ascii="Arial" w:hAnsi="Arial" w:cs="Arial"/>
          <w:sz w:val="26"/>
          <w:szCs w:val="26"/>
        </w:rPr>
        <w:t xml:space="preserve"> </w:t>
      </w:r>
      <w:r>
        <w:rPr>
          <w:rFonts w:ascii="Arial" w:hAnsi="Arial" w:cs="Arial"/>
          <w:sz w:val="26"/>
          <w:szCs w:val="26"/>
        </w:rPr>
        <w:t xml:space="preserve"> </w:t>
      </w:r>
      <w:r w:rsidR="00557679" w:rsidRPr="008C18BE">
        <w:rPr>
          <w:rFonts w:ascii="Arial" w:hAnsi="Arial" w:cs="Arial"/>
          <w:sz w:val="26"/>
          <w:szCs w:val="26"/>
        </w:rPr>
        <w:t>A</w:t>
      </w:r>
      <w:r w:rsidR="005C449B" w:rsidRPr="008C18BE">
        <w:rPr>
          <w:rFonts w:ascii="Arial" w:hAnsi="Arial" w:cs="Arial"/>
          <w:sz w:val="24"/>
          <w:szCs w:val="24"/>
        </w:rPr>
        <w:t xml:space="preserve"> </w:t>
      </w:r>
      <w:r w:rsidR="008C18BE" w:rsidRPr="008C18BE">
        <w:rPr>
          <w:rFonts w:ascii="Arial" w:hAnsi="Arial" w:cs="Arial"/>
          <w:sz w:val="24"/>
          <w:szCs w:val="24"/>
        </w:rPr>
        <w:t xml:space="preserve">Memorandum of Understanding </w:t>
      </w:r>
      <w:r w:rsidR="005C449B" w:rsidRPr="008C18BE">
        <w:rPr>
          <w:rFonts w:ascii="Arial" w:hAnsi="Arial" w:cs="Arial"/>
          <w:sz w:val="24"/>
          <w:szCs w:val="24"/>
        </w:rPr>
        <w:t>“MOU”</w:t>
      </w:r>
      <w:r w:rsidR="005C449B" w:rsidRPr="00A866B0">
        <w:rPr>
          <w:rFonts w:ascii="Arial" w:hAnsi="Arial" w:cs="Arial"/>
          <w:b/>
          <w:sz w:val="24"/>
          <w:szCs w:val="24"/>
        </w:rPr>
        <w:t xml:space="preserve"> </w:t>
      </w:r>
      <w:r w:rsidR="008C18BE">
        <w:rPr>
          <w:rFonts w:ascii="Arial" w:hAnsi="Arial" w:cs="Arial"/>
          <w:sz w:val="24"/>
          <w:szCs w:val="24"/>
        </w:rPr>
        <w:t xml:space="preserve">between </w:t>
      </w:r>
      <w:r w:rsidR="009815B4" w:rsidRPr="00A866B0">
        <w:rPr>
          <w:rFonts w:ascii="Arial" w:hAnsi="Arial" w:cs="Arial"/>
          <w:b/>
          <w:sz w:val="24"/>
          <w:szCs w:val="24"/>
        </w:rPr>
        <w:t xml:space="preserve">Al </w:t>
      </w:r>
      <w:r w:rsidR="00CD7B2E">
        <w:rPr>
          <w:rFonts w:ascii="Arial" w:hAnsi="Arial" w:cs="Arial"/>
          <w:b/>
          <w:sz w:val="24"/>
          <w:szCs w:val="24"/>
        </w:rPr>
        <w:t>Motahaden Petroleum Refineries</w:t>
      </w:r>
      <w:r w:rsidR="008C18BE">
        <w:rPr>
          <w:rFonts w:ascii="Arial" w:hAnsi="Arial" w:cs="Arial"/>
          <w:b/>
          <w:sz w:val="24"/>
          <w:szCs w:val="24"/>
        </w:rPr>
        <w:t xml:space="preserve"> </w:t>
      </w:r>
      <w:r w:rsidR="008C18BE" w:rsidRPr="00A866B0">
        <w:rPr>
          <w:rFonts w:ascii="Arial" w:hAnsi="Arial" w:cs="Arial"/>
          <w:sz w:val="24"/>
          <w:szCs w:val="24"/>
        </w:rPr>
        <w:t>“</w:t>
      </w:r>
      <w:r w:rsidR="008C18BE">
        <w:rPr>
          <w:rFonts w:ascii="Arial" w:hAnsi="Arial" w:cs="Arial"/>
          <w:b/>
          <w:sz w:val="24"/>
          <w:szCs w:val="24"/>
        </w:rPr>
        <w:t>AMPR</w:t>
      </w:r>
      <w:r w:rsidR="008C18BE" w:rsidRPr="00A866B0">
        <w:rPr>
          <w:rFonts w:ascii="Arial" w:hAnsi="Arial" w:cs="Arial"/>
          <w:sz w:val="24"/>
          <w:szCs w:val="24"/>
        </w:rPr>
        <w:t>”</w:t>
      </w:r>
      <w:r w:rsidR="008C18BE">
        <w:rPr>
          <w:rFonts w:ascii="Arial" w:hAnsi="Arial" w:cs="Arial"/>
          <w:b/>
          <w:sz w:val="24"/>
          <w:szCs w:val="24"/>
        </w:rPr>
        <w:t>,</w:t>
      </w:r>
      <w:r w:rsidR="00CD7B2E">
        <w:rPr>
          <w:rFonts w:ascii="Arial" w:hAnsi="Arial" w:cs="Arial"/>
          <w:b/>
          <w:sz w:val="24"/>
          <w:szCs w:val="24"/>
        </w:rPr>
        <w:t xml:space="preserve"> </w:t>
      </w:r>
      <w:r w:rsidR="00791629" w:rsidRPr="00A866B0">
        <w:rPr>
          <w:rFonts w:ascii="Arial" w:hAnsi="Arial" w:cs="Arial"/>
          <w:b/>
          <w:sz w:val="24"/>
          <w:szCs w:val="24"/>
        </w:rPr>
        <w:t>UAE</w:t>
      </w:r>
      <w:r w:rsidR="00557679">
        <w:rPr>
          <w:rFonts w:ascii="Arial" w:hAnsi="Arial" w:cs="Arial"/>
          <w:sz w:val="24"/>
          <w:szCs w:val="24"/>
        </w:rPr>
        <w:t xml:space="preserve"> </w:t>
      </w:r>
      <w:r w:rsidR="008C18BE">
        <w:rPr>
          <w:rFonts w:ascii="Arial" w:hAnsi="Arial" w:cs="Arial"/>
          <w:sz w:val="24"/>
          <w:szCs w:val="24"/>
        </w:rPr>
        <w:t>and</w:t>
      </w:r>
      <w:r w:rsidR="00E13525">
        <w:rPr>
          <w:rFonts w:ascii="Arial" w:hAnsi="Arial" w:cs="Arial"/>
          <w:sz w:val="24"/>
          <w:szCs w:val="24"/>
        </w:rPr>
        <w:t xml:space="preserve"> </w:t>
      </w:r>
      <w:r w:rsidR="005847B4" w:rsidRPr="00A866B0">
        <w:rPr>
          <w:rFonts w:ascii="Arial" w:hAnsi="Arial" w:cs="Arial"/>
          <w:b/>
          <w:sz w:val="24"/>
          <w:szCs w:val="24"/>
        </w:rPr>
        <w:t>The Board of Investment</w:t>
      </w:r>
      <w:r w:rsidR="005847B4" w:rsidRPr="00A866B0">
        <w:rPr>
          <w:rFonts w:ascii="Arial" w:hAnsi="Arial" w:cs="Arial"/>
          <w:sz w:val="24"/>
          <w:szCs w:val="24"/>
        </w:rPr>
        <w:t xml:space="preserve"> “</w:t>
      </w:r>
      <w:r w:rsidR="00DC2160" w:rsidRPr="00A866B0">
        <w:rPr>
          <w:rFonts w:ascii="Arial" w:hAnsi="Arial" w:cs="Arial"/>
          <w:b/>
          <w:sz w:val="24"/>
          <w:szCs w:val="24"/>
        </w:rPr>
        <w:t>BOI</w:t>
      </w:r>
      <w:r w:rsidR="005847B4" w:rsidRPr="00A866B0">
        <w:rPr>
          <w:rFonts w:ascii="Arial" w:hAnsi="Arial" w:cs="Arial"/>
          <w:sz w:val="24"/>
          <w:szCs w:val="24"/>
        </w:rPr>
        <w:t>”</w:t>
      </w:r>
      <w:r w:rsidR="00E13525">
        <w:rPr>
          <w:rFonts w:ascii="Arial" w:hAnsi="Arial" w:cs="Arial"/>
          <w:sz w:val="24"/>
          <w:szCs w:val="24"/>
        </w:rPr>
        <w:t>, Pakistan</w:t>
      </w:r>
      <w:r w:rsidR="00CB3B10">
        <w:rPr>
          <w:rFonts w:ascii="Arial" w:hAnsi="Arial" w:cs="Arial"/>
          <w:sz w:val="24"/>
          <w:szCs w:val="24"/>
        </w:rPr>
        <w:t xml:space="preserve"> has been sign</w:t>
      </w:r>
      <w:r w:rsidR="00FA4E14">
        <w:rPr>
          <w:rFonts w:ascii="Arial" w:hAnsi="Arial" w:cs="Arial"/>
          <w:sz w:val="24"/>
          <w:szCs w:val="24"/>
        </w:rPr>
        <w:t xml:space="preserve">ed today at Board of Investment in the presence of Minister for Petroleum &amp; Natural Resources Mr. Shahid Khaqan Abbasi, MOS/Chairman, BOI and Ambassador of United Arab Emirates in Pakistan. </w:t>
      </w:r>
    </w:p>
    <w:p w:rsidR="00FD4A7E" w:rsidRDefault="00FD4A7E" w:rsidP="00C7626A">
      <w:pPr>
        <w:spacing w:after="0" w:line="360" w:lineRule="auto"/>
        <w:jc w:val="both"/>
        <w:rPr>
          <w:rFonts w:ascii="Arial" w:hAnsi="Arial" w:cs="Arial"/>
          <w:sz w:val="24"/>
          <w:szCs w:val="24"/>
        </w:rPr>
      </w:pPr>
    </w:p>
    <w:p w:rsidR="001B0D80" w:rsidRPr="00A866B0" w:rsidRDefault="00FD4A7E" w:rsidP="00C7626A">
      <w:pPr>
        <w:spacing w:after="0" w:line="360" w:lineRule="auto"/>
        <w:jc w:val="both"/>
        <w:rPr>
          <w:rFonts w:ascii="Arial" w:hAnsi="Arial" w:cs="Arial"/>
          <w:b/>
          <w:sz w:val="24"/>
          <w:szCs w:val="24"/>
        </w:rPr>
      </w:pPr>
      <w:r>
        <w:rPr>
          <w:rFonts w:ascii="Arial" w:hAnsi="Arial" w:cs="Arial"/>
          <w:sz w:val="24"/>
          <w:szCs w:val="24"/>
        </w:rPr>
        <w:t>T</w:t>
      </w:r>
      <w:r w:rsidR="00DC2160" w:rsidRPr="00A866B0">
        <w:rPr>
          <w:rFonts w:ascii="Arial" w:hAnsi="Arial" w:cs="Arial"/>
          <w:sz w:val="24"/>
          <w:szCs w:val="24"/>
        </w:rPr>
        <w:t xml:space="preserve">he </w:t>
      </w:r>
      <w:r w:rsidR="009E66B5">
        <w:rPr>
          <w:rFonts w:ascii="Arial" w:hAnsi="Arial" w:cs="Arial"/>
          <w:sz w:val="24"/>
          <w:szCs w:val="24"/>
        </w:rPr>
        <w:t>AMPR</w:t>
      </w:r>
      <w:r w:rsidR="005847B4" w:rsidRPr="00A866B0">
        <w:rPr>
          <w:rFonts w:ascii="Arial" w:hAnsi="Arial" w:cs="Arial"/>
          <w:sz w:val="24"/>
          <w:szCs w:val="24"/>
        </w:rPr>
        <w:t xml:space="preserve"> has expressed its interest and willingness</w:t>
      </w:r>
      <w:r w:rsidR="0086099C" w:rsidRPr="00A866B0">
        <w:rPr>
          <w:rFonts w:ascii="Arial" w:hAnsi="Arial" w:cs="Arial"/>
          <w:sz w:val="24"/>
          <w:szCs w:val="24"/>
        </w:rPr>
        <w:t xml:space="preserve"> for setting up </w:t>
      </w:r>
      <w:r w:rsidR="008833D3" w:rsidRPr="00A866B0">
        <w:rPr>
          <w:rFonts w:ascii="Arial" w:hAnsi="Arial" w:cs="Arial"/>
          <w:sz w:val="24"/>
          <w:szCs w:val="24"/>
        </w:rPr>
        <w:t xml:space="preserve">an </w:t>
      </w:r>
      <w:r w:rsidR="00DC2160" w:rsidRPr="00A866B0">
        <w:rPr>
          <w:rFonts w:ascii="Arial" w:hAnsi="Arial" w:cs="Arial"/>
          <w:sz w:val="24"/>
          <w:szCs w:val="24"/>
        </w:rPr>
        <w:t>Oil Refinery</w:t>
      </w:r>
      <w:r w:rsidR="007A6B66" w:rsidRPr="00A866B0">
        <w:rPr>
          <w:rFonts w:ascii="Arial" w:hAnsi="Arial" w:cs="Arial"/>
          <w:sz w:val="24"/>
          <w:szCs w:val="24"/>
        </w:rPr>
        <w:t xml:space="preserve"> </w:t>
      </w:r>
      <w:r w:rsidR="001B0D80" w:rsidRPr="00A866B0">
        <w:rPr>
          <w:rFonts w:ascii="Arial" w:hAnsi="Arial" w:cs="Arial"/>
          <w:sz w:val="24"/>
          <w:szCs w:val="24"/>
        </w:rPr>
        <w:t>in Pakistan</w:t>
      </w:r>
      <w:r w:rsidR="00F777C4" w:rsidRPr="00A866B0">
        <w:rPr>
          <w:rFonts w:ascii="Arial" w:hAnsi="Arial" w:cs="Arial"/>
          <w:sz w:val="24"/>
          <w:szCs w:val="24"/>
        </w:rPr>
        <w:t xml:space="preserve"> </w:t>
      </w:r>
      <w:r w:rsidR="00FA4E14">
        <w:rPr>
          <w:rFonts w:ascii="Arial" w:hAnsi="Arial" w:cs="Arial"/>
          <w:sz w:val="24"/>
          <w:szCs w:val="24"/>
        </w:rPr>
        <w:t xml:space="preserve">having the capacity of 15000 to 20000 barrel per day </w:t>
      </w:r>
      <w:r w:rsidR="00536D34" w:rsidRPr="00536D34">
        <w:rPr>
          <w:rFonts w:ascii="Arial" w:hAnsi="Arial" w:cs="Arial"/>
          <w:sz w:val="24"/>
          <w:szCs w:val="24"/>
        </w:rPr>
        <w:t xml:space="preserve">on establishment, the production capacity </w:t>
      </w:r>
      <w:r w:rsidR="00536D34">
        <w:rPr>
          <w:rFonts w:ascii="Arial" w:hAnsi="Arial" w:cs="Arial"/>
          <w:sz w:val="24"/>
          <w:szCs w:val="24"/>
        </w:rPr>
        <w:t xml:space="preserve">will be </w:t>
      </w:r>
      <w:r w:rsidR="00536D34" w:rsidRPr="00536D34">
        <w:rPr>
          <w:rFonts w:ascii="Arial" w:hAnsi="Arial" w:cs="Arial"/>
          <w:sz w:val="24"/>
          <w:szCs w:val="24"/>
        </w:rPr>
        <w:t>50,000 bbl to 100,000 bbl per day</w:t>
      </w:r>
      <w:r w:rsidR="00536D34" w:rsidRPr="00A866B0">
        <w:rPr>
          <w:rFonts w:ascii="Arial" w:hAnsi="Arial" w:cs="Arial"/>
          <w:sz w:val="24"/>
          <w:szCs w:val="24"/>
        </w:rPr>
        <w:t xml:space="preserve"> </w:t>
      </w:r>
      <w:r w:rsidR="00F777C4" w:rsidRPr="00A866B0">
        <w:rPr>
          <w:rFonts w:ascii="Arial" w:hAnsi="Arial" w:cs="Arial"/>
          <w:sz w:val="24"/>
          <w:szCs w:val="24"/>
        </w:rPr>
        <w:t>preferably in the Province of KPK</w:t>
      </w:r>
      <w:r w:rsidR="00FA4E14">
        <w:rPr>
          <w:rFonts w:ascii="Arial" w:hAnsi="Arial" w:cs="Arial"/>
          <w:sz w:val="24"/>
          <w:szCs w:val="24"/>
        </w:rPr>
        <w:t xml:space="preserve"> with the investment of 500 Million US</w:t>
      </w:r>
      <w:r w:rsidR="005150E3">
        <w:rPr>
          <w:rFonts w:ascii="Arial" w:hAnsi="Arial" w:cs="Arial"/>
          <w:sz w:val="24"/>
          <w:szCs w:val="24"/>
        </w:rPr>
        <w:t>$</w:t>
      </w:r>
      <w:r w:rsidR="0081297A">
        <w:rPr>
          <w:rFonts w:ascii="Arial" w:hAnsi="Arial" w:cs="Arial"/>
          <w:sz w:val="24"/>
          <w:szCs w:val="24"/>
        </w:rPr>
        <w:t>.</w:t>
      </w:r>
      <w:r w:rsidR="00536D34">
        <w:rPr>
          <w:rFonts w:ascii="Arial" w:hAnsi="Arial" w:cs="Arial"/>
          <w:sz w:val="24"/>
          <w:szCs w:val="24"/>
        </w:rPr>
        <w:t xml:space="preserve"> </w:t>
      </w:r>
      <w:r>
        <w:rPr>
          <w:rFonts w:ascii="Arial" w:hAnsi="Arial" w:cs="Arial"/>
          <w:sz w:val="24"/>
          <w:szCs w:val="24"/>
        </w:rPr>
        <w:t>T</w:t>
      </w:r>
      <w:r w:rsidR="00DC2160" w:rsidRPr="00A866B0">
        <w:rPr>
          <w:rFonts w:ascii="Arial" w:hAnsi="Arial" w:cs="Arial"/>
          <w:sz w:val="24"/>
          <w:szCs w:val="24"/>
        </w:rPr>
        <w:t xml:space="preserve">he </w:t>
      </w:r>
      <w:r w:rsidR="009E66B5">
        <w:rPr>
          <w:rFonts w:ascii="Arial" w:hAnsi="Arial" w:cs="Arial"/>
          <w:sz w:val="24"/>
          <w:szCs w:val="24"/>
        </w:rPr>
        <w:t>AMPR</w:t>
      </w:r>
      <w:r w:rsidR="001B0D80" w:rsidRPr="00A866B0">
        <w:rPr>
          <w:rFonts w:ascii="Arial" w:hAnsi="Arial" w:cs="Arial"/>
          <w:sz w:val="24"/>
          <w:szCs w:val="24"/>
        </w:rPr>
        <w:t xml:space="preserve"> shall form a consortium consisting of local and foreign companies to develop the Project and shall, for the purpose, make the required </w:t>
      </w:r>
      <w:r w:rsidR="00DA204E" w:rsidRPr="00A866B0">
        <w:rPr>
          <w:rFonts w:ascii="Arial" w:hAnsi="Arial" w:cs="Arial"/>
          <w:sz w:val="24"/>
          <w:szCs w:val="24"/>
        </w:rPr>
        <w:t xml:space="preserve">foreign direct investment </w:t>
      </w:r>
      <w:r w:rsidR="001B0D80" w:rsidRPr="00A866B0">
        <w:rPr>
          <w:rFonts w:ascii="Arial" w:hAnsi="Arial" w:cs="Arial"/>
          <w:sz w:val="24"/>
          <w:szCs w:val="24"/>
        </w:rPr>
        <w:t>into Pakistan</w:t>
      </w:r>
      <w:r>
        <w:rPr>
          <w:rFonts w:ascii="Arial" w:hAnsi="Arial" w:cs="Arial"/>
          <w:sz w:val="24"/>
          <w:szCs w:val="24"/>
        </w:rPr>
        <w:t>.</w:t>
      </w:r>
    </w:p>
    <w:p w:rsidR="000E30DA" w:rsidRPr="00A866B0" w:rsidRDefault="000E30DA" w:rsidP="00C7626A">
      <w:pPr>
        <w:spacing w:after="0" w:line="360" w:lineRule="auto"/>
        <w:jc w:val="both"/>
        <w:rPr>
          <w:rFonts w:ascii="Arial" w:hAnsi="Arial" w:cs="Arial"/>
          <w:b/>
          <w:sz w:val="24"/>
          <w:szCs w:val="24"/>
        </w:rPr>
      </w:pPr>
    </w:p>
    <w:p w:rsidR="009A24D8" w:rsidRDefault="009A24D8" w:rsidP="00C7626A">
      <w:pPr>
        <w:pStyle w:val="ListParagraph"/>
        <w:spacing w:after="0" w:line="360" w:lineRule="auto"/>
        <w:ind w:left="0"/>
        <w:jc w:val="both"/>
        <w:rPr>
          <w:rFonts w:ascii="Arial" w:hAnsi="Arial" w:cs="Arial"/>
          <w:sz w:val="24"/>
          <w:szCs w:val="24"/>
        </w:rPr>
      </w:pPr>
      <w:r>
        <w:rPr>
          <w:rFonts w:ascii="Arial" w:hAnsi="Arial" w:cs="Arial"/>
          <w:sz w:val="24"/>
          <w:szCs w:val="24"/>
        </w:rPr>
        <w:t xml:space="preserve">This will support to fulfill </w:t>
      </w:r>
      <w:r w:rsidR="003549C6" w:rsidRPr="00A866B0">
        <w:rPr>
          <w:rFonts w:ascii="Arial" w:hAnsi="Arial" w:cs="Arial"/>
          <w:sz w:val="24"/>
          <w:szCs w:val="24"/>
        </w:rPr>
        <w:t xml:space="preserve">the energy requirements of the country and to </w:t>
      </w:r>
      <w:r>
        <w:rPr>
          <w:rFonts w:ascii="Arial" w:hAnsi="Arial" w:cs="Arial"/>
          <w:sz w:val="24"/>
          <w:szCs w:val="24"/>
        </w:rPr>
        <w:t xml:space="preserve">further enhanced </w:t>
      </w:r>
      <w:r w:rsidR="003549C6" w:rsidRPr="00A866B0">
        <w:rPr>
          <w:rFonts w:ascii="Arial" w:hAnsi="Arial" w:cs="Arial"/>
          <w:sz w:val="24"/>
          <w:szCs w:val="24"/>
        </w:rPr>
        <w:t xml:space="preserve">its economic development, encourages the </w:t>
      </w:r>
      <w:r w:rsidR="00DC2160" w:rsidRPr="00A866B0">
        <w:rPr>
          <w:rFonts w:ascii="Arial" w:hAnsi="Arial" w:cs="Arial"/>
          <w:sz w:val="24"/>
          <w:szCs w:val="24"/>
        </w:rPr>
        <w:t>i</w:t>
      </w:r>
      <w:r w:rsidR="003549C6" w:rsidRPr="00A866B0">
        <w:rPr>
          <w:rFonts w:ascii="Arial" w:hAnsi="Arial" w:cs="Arial"/>
          <w:sz w:val="24"/>
          <w:szCs w:val="24"/>
        </w:rPr>
        <w:t>nvestor to develop the Project through foreign direct investm</w:t>
      </w:r>
      <w:r>
        <w:rPr>
          <w:rFonts w:ascii="Arial" w:hAnsi="Arial" w:cs="Arial"/>
          <w:sz w:val="24"/>
          <w:szCs w:val="24"/>
        </w:rPr>
        <w:t>ent and international expertise.</w:t>
      </w:r>
      <w:r w:rsidR="003549C6" w:rsidRPr="00A866B0">
        <w:rPr>
          <w:rFonts w:ascii="Arial" w:hAnsi="Arial" w:cs="Arial"/>
          <w:sz w:val="24"/>
          <w:szCs w:val="24"/>
        </w:rPr>
        <w:t xml:space="preserve"> </w:t>
      </w:r>
    </w:p>
    <w:p w:rsidR="009A24D8" w:rsidRDefault="009A24D8" w:rsidP="00C7626A">
      <w:pPr>
        <w:pStyle w:val="ListParagraph"/>
        <w:spacing w:after="0" w:line="360" w:lineRule="auto"/>
        <w:ind w:left="0"/>
        <w:jc w:val="both"/>
        <w:rPr>
          <w:rFonts w:ascii="Arial" w:hAnsi="Arial" w:cs="Arial"/>
          <w:sz w:val="24"/>
          <w:szCs w:val="24"/>
        </w:rPr>
      </w:pPr>
    </w:p>
    <w:p w:rsidR="000E30DA" w:rsidRPr="005150E3" w:rsidRDefault="009A24D8" w:rsidP="00C7626A">
      <w:pPr>
        <w:spacing w:after="0" w:line="360" w:lineRule="auto"/>
        <w:jc w:val="both"/>
        <w:rPr>
          <w:rFonts w:ascii="Arial" w:hAnsi="Arial" w:cs="Arial"/>
          <w:sz w:val="24"/>
          <w:szCs w:val="24"/>
        </w:rPr>
      </w:pPr>
      <w:r w:rsidRPr="005150E3">
        <w:rPr>
          <w:rFonts w:ascii="Arial" w:hAnsi="Arial" w:cs="Arial"/>
          <w:sz w:val="24"/>
          <w:szCs w:val="24"/>
        </w:rPr>
        <w:t xml:space="preserve">Minister of State/Chairman, Board of Investment ensure </w:t>
      </w:r>
      <w:r w:rsidR="00CD744D" w:rsidRPr="005150E3">
        <w:rPr>
          <w:rFonts w:ascii="Arial" w:hAnsi="Arial" w:cs="Arial"/>
          <w:sz w:val="24"/>
          <w:szCs w:val="24"/>
        </w:rPr>
        <w:t xml:space="preserve">to </w:t>
      </w:r>
      <w:r w:rsidR="005150E3" w:rsidRPr="005150E3">
        <w:rPr>
          <w:rFonts w:ascii="Arial" w:hAnsi="Arial" w:cs="Arial"/>
          <w:sz w:val="24"/>
          <w:szCs w:val="24"/>
        </w:rPr>
        <w:t>extend full assistance and support to the AMPR in obtaining all administrative and regulatory approvals, consents and permissions for the development of the Project, including acquisition of land for the Project and the import of plant and machinery;</w:t>
      </w:r>
      <w:r w:rsidR="005150E3">
        <w:rPr>
          <w:rFonts w:ascii="Arial" w:hAnsi="Arial" w:cs="Arial"/>
          <w:sz w:val="24"/>
          <w:szCs w:val="24"/>
        </w:rPr>
        <w:t xml:space="preserve"> </w:t>
      </w:r>
      <w:r>
        <w:rPr>
          <w:rFonts w:ascii="Arial" w:hAnsi="Arial" w:cs="Arial"/>
          <w:sz w:val="24"/>
          <w:szCs w:val="24"/>
        </w:rPr>
        <w:t xml:space="preserve">to complete the project well in time. </w:t>
      </w:r>
    </w:p>
    <w:p w:rsidR="000E30DA" w:rsidRPr="00A866B0" w:rsidRDefault="000E30DA" w:rsidP="005150E3">
      <w:pPr>
        <w:spacing w:after="0" w:line="360" w:lineRule="auto"/>
        <w:jc w:val="both"/>
        <w:rPr>
          <w:rFonts w:ascii="Arial" w:hAnsi="Arial" w:cs="Arial"/>
          <w:sz w:val="24"/>
          <w:szCs w:val="24"/>
        </w:rPr>
      </w:pPr>
    </w:p>
    <w:p w:rsidR="00D46EBD" w:rsidRPr="00A866B0" w:rsidRDefault="00D46EBD" w:rsidP="002A4E10">
      <w:pPr>
        <w:spacing w:after="0" w:line="240" w:lineRule="auto"/>
        <w:ind w:left="360"/>
        <w:jc w:val="both"/>
        <w:rPr>
          <w:rFonts w:ascii="Arial" w:hAnsi="Arial" w:cs="Arial"/>
          <w:sz w:val="24"/>
          <w:szCs w:val="24"/>
        </w:rPr>
      </w:pPr>
    </w:p>
    <w:p w:rsidR="003D79EC" w:rsidRPr="00A866B0" w:rsidRDefault="005150E3" w:rsidP="005150E3">
      <w:pPr>
        <w:pStyle w:val="ListParagraph"/>
        <w:spacing w:after="0" w:line="240" w:lineRule="auto"/>
        <w:jc w:val="center"/>
        <w:rPr>
          <w:rFonts w:ascii="Arial" w:hAnsi="Arial" w:cs="Arial"/>
          <w:b/>
          <w:sz w:val="24"/>
          <w:szCs w:val="24"/>
        </w:rPr>
      </w:pPr>
      <w:r>
        <w:rPr>
          <w:rFonts w:ascii="Arial" w:hAnsi="Arial" w:cs="Arial"/>
          <w:b/>
          <w:sz w:val="24"/>
          <w:szCs w:val="24"/>
        </w:rPr>
        <w:t>*******</w:t>
      </w:r>
    </w:p>
    <w:p w:rsidR="00DA204E" w:rsidRPr="00A866B0" w:rsidRDefault="00DA204E" w:rsidP="002A4E10">
      <w:pPr>
        <w:pStyle w:val="ListParagraph"/>
        <w:spacing w:after="0" w:line="240" w:lineRule="auto"/>
        <w:jc w:val="both"/>
        <w:rPr>
          <w:rFonts w:ascii="Arial" w:hAnsi="Arial" w:cs="Arial"/>
          <w:b/>
          <w:sz w:val="24"/>
          <w:szCs w:val="24"/>
        </w:rPr>
      </w:pPr>
    </w:p>
    <w:p w:rsidR="006B027E" w:rsidRDefault="006B027E" w:rsidP="0004336D">
      <w:pPr>
        <w:spacing w:after="0" w:line="480" w:lineRule="auto"/>
        <w:ind w:left="360"/>
        <w:rPr>
          <w:rFonts w:ascii="Arial" w:hAnsi="Arial" w:cs="Arial"/>
          <w:b/>
          <w:sz w:val="24"/>
          <w:szCs w:val="24"/>
        </w:rPr>
      </w:pPr>
    </w:p>
    <w:p w:rsidR="005150E3" w:rsidRDefault="005150E3" w:rsidP="0004336D">
      <w:pPr>
        <w:spacing w:after="0" w:line="480" w:lineRule="auto"/>
        <w:ind w:left="360"/>
        <w:rPr>
          <w:rFonts w:ascii="Arial" w:hAnsi="Arial" w:cs="Arial"/>
          <w:b/>
          <w:sz w:val="24"/>
          <w:szCs w:val="24"/>
        </w:rPr>
      </w:pPr>
    </w:p>
    <w:p w:rsidR="005150E3" w:rsidRDefault="005150E3" w:rsidP="0004336D">
      <w:pPr>
        <w:spacing w:after="0" w:line="480" w:lineRule="auto"/>
        <w:ind w:left="360"/>
        <w:rPr>
          <w:rFonts w:ascii="Arial" w:hAnsi="Arial" w:cs="Arial"/>
          <w:b/>
          <w:sz w:val="24"/>
          <w:szCs w:val="24"/>
        </w:rPr>
      </w:pPr>
    </w:p>
    <w:p w:rsidR="005150E3" w:rsidRPr="00A866B0" w:rsidRDefault="005150E3" w:rsidP="005150E3">
      <w:pPr>
        <w:pStyle w:val="ListParagraph"/>
        <w:spacing w:after="0" w:line="240" w:lineRule="auto"/>
        <w:ind w:left="1440" w:hanging="720"/>
        <w:jc w:val="both"/>
        <w:rPr>
          <w:rFonts w:ascii="Arial" w:hAnsi="Arial" w:cs="Arial"/>
          <w:b/>
          <w:sz w:val="24"/>
          <w:szCs w:val="24"/>
        </w:rPr>
      </w:pPr>
    </w:p>
    <w:p w:rsidR="005150E3" w:rsidRPr="00A866B0" w:rsidRDefault="005150E3" w:rsidP="005150E3">
      <w:pPr>
        <w:pStyle w:val="ListParagraph"/>
        <w:numPr>
          <w:ilvl w:val="2"/>
          <w:numId w:val="6"/>
        </w:numPr>
        <w:spacing w:after="0" w:line="240" w:lineRule="auto"/>
        <w:ind w:left="1440"/>
        <w:jc w:val="both"/>
        <w:rPr>
          <w:rFonts w:ascii="Arial" w:hAnsi="Arial" w:cs="Arial"/>
          <w:b/>
          <w:sz w:val="24"/>
          <w:szCs w:val="24"/>
        </w:rPr>
      </w:pPr>
      <w:r w:rsidRPr="00A866B0">
        <w:rPr>
          <w:rFonts w:ascii="Arial" w:hAnsi="Arial" w:cs="Arial"/>
          <w:sz w:val="24"/>
          <w:szCs w:val="24"/>
        </w:rPr>
        <w:t>recommend to the concerned agencies for the import (i) plant, machinery, equipment and all other necessary resources for the Project and (ii) grant of all fiscal and other incentives including exemption of import duty over import of plant and machinery for setting up and operation of the Project that are applicable under the rules and laws prevailing at the time of import;</w:t>
      </w:r>
    </w:p>
    <w:p w:rsidR="005150E3" w:rsidRPr="00A866B0" w:rsidRDefault="005150E3" w:rsidP="005150E3">
      <w:pPr>
        <w:pStyle w:val="ListParagraph"/>
        <w:spacing w:after="0" w:line="240" w:lineRule="auto"/>
        <w:ind w:left="1440" w:hanging="720"/>
        <w:jc w:val="both"/>
        <w:rPr>
          <w:rFonts w:ascii="Arial" w:hAnsi="Arial" w:cs="Arial"/>
          <w:b/>
          <w:sz w:val="24"/>
          <w:szCs w:val="24"/>
        </w:rPr>
      </w:pPr>
    </w:p>
    <w:p w:rsidR="005150E3" w:rsidRPr="00A866B0" w:rsidRDefault="005150E3" w:rsidP="005150E3">
      <w:pPr>
        <w:pStyle w:val="ListParagraph"/>
        <w:numPr>
          <w:ilvl w:val="2"/>
          <w:numId w:val="6"/>
        </w:numPr>
        <w:spacing w:after="0" w:line="240" w:lineRule="auto"/>
        <w:ind w:left="1440"/>
        <w:jc w:val="both"/>
        <w:rPr>
          <w:rFonts w:ascii="Arial" w:hAnsi="Arial" w:cs="Arial"/>
          <w:b/>
          <w:sz w:val="24"/>
          <w:szCs w:val="24"/>
        </w:rPr>
      </w:pPr>
      <w:r w:rsidRPr="00A866B0">
        <w:rPr>
          <w:rFonts w:ascii="Arial" w:hAnsi="Arial" w:cs="Arial"/>
          <w:sz w:val="24"/>
          <w:szCs w:val="24"/>
        </w:rPr>
        <w:t xml:space="preserve">strive to provide adequate security to the </w:t>
      </w:r>
      <w:r>
        <w:rPr>
          <w:rFonts w:ascii="Arial" w:hAnsi="Arial" w:cs="Arial"/>
          <w:sz w:val="24"/>
          <w:szCs w:val="24"/>
        </w:rPr>
        <w:t>AMPR</w:t>
      </w:r>
      <w:r w:rsidRPr="00A866B0">
        <w:rPr>
          <w:rFonts w:ascii="Arial" w:hAnsi="Arial" w:cs="Arial"/>
          <w:sz w:val="24"/>
          <w:szCs w:val="24"/>
        </w:rPr>
        <w:t xml:space="preserve">; </w:t>
      </w:r>
    </w:p>
    <w:p w:rsidR="005150E3" w:rsidRPr="00A866B0" w:rsidRDefault="005150E3" w:rsidP="005150E3">
      <w:pPr>
        <w:spacing w:after="0" w:line="240" w:lineRule="auto"/>
        <w:jc w:val="both"/>
        <w:rPr>
          <w:rFonts w:ascii="Arial" w:hAnsi="Arial" w:cs="Arial"/>
          <w:b/>
          <w:sz w:val="24"/>
          <w:szCs w:val="24"/>
        </w:rPr>
      </w:pPr>
    </w:p>
    <w:p w:rsidR="005150E3" w:rsidRPr="00A866B0" w:rsidRDefault="005150E3" w:rsidP="005150E3">
      <w:pPr>
        <w:pStyle w:val="ListParagraph"/>
        <w:numPr>
          <w:ilvl w:val="2"/>
          <w:numId w:val="6"/>
        </w:numPr>
        <w:spacing w:after="0" w:line="240" w:lineRule="auto"/>
        <w:ind w:left="1440"/>
        <w:jc w:val="both"/>
        <w:rPr>
          <w:rFonts w:ascii="Arial" w:hAnsi="Arial" w:cs="Arial"/>
          <w:sz w:val="24"/>
          <w:szCs w:val="24"/>
        </w:rPr>
      </w:pPr>
      <w:r w:rsidRPr="00A866B0">
        <w:rPr>
          <w:rFonts w:ascii="Arial" w:hAnsi="Arial" w:cs="Arial"/>
          <w:sz w:val="24"/>
          <w:szCs w:val="24"/>
        </w:rPr>
        <w:t xml:space="preserve">meet regularly with the </w:t>
      </w:r>
      <w:r>
        <w:rPr>
          <w:rFonts w:ascii="Arial" w:hAnsi="Arial" w:cs="Arial"/>
          <w:sz w:val="24"/>
          <w:szCs w:val="24"/>
        </w:rPr>
        <w:t>AMPR</w:t>
      </w:r>
      <w:r w:rsidRPr="00A866B0">
        <w:rPr>
          <w:rFonts w:ascii="Arial" w:hAnsi="Arial" w:cs="Arial"/>
          <w:sz w:val="24"/>
          <w:szCs w:val="24"/>
        </w:rPr>
        <w:t xml:space="preserve"> to discuss policy matters and project development. </w:t>
      </w:r>
    </w:p>
    <w:p w:rsidR="005150E3" w:rsidRPr="00A866B0" w:rsidRDefault="005150E3" w:rsidP="005150E3">
      <w:pPr>
        <w:spacing w:after="0" w:line="240" w:lineRule="auto"/>
        <w:ind w:left="1440" w:hanging="720"/>
        <w:jc w:val="both"/>
        <w:rPr>
          <w:rFonts w:ascii="Arial" w:hAnsi="Arial" w:cs="Arial"/>
          <w:b/>
          <w:sz w:val="24"/>
          <w:szCs w:val="24"/>
        </w:rPr>
      </w:pPr>
    </w:p>
    <w:p w:rsidR="005150E3" w:rsidRPr="00A866B0" w:rsidRDefault="005150E3" w:rsidP="005150E3">
      <w:pPr>
        <w:pStyle w:val="ListParagraph"/>
        <w:numPr>
          <w:ilvl w:val="0"/>
          <w:numId w:val="6"/>
        </w:numPr>
        <w:spacing w:after="0" w:line="240" w:lineRule="auto"/>
        <w:ind w:left="1080"/>
        <w:jc w:val="both"/>
        <w:rPr>
          <w:rFonts w:ascii="Arial" w:hAnsi="Arial" w:cs="Arial"/>
          <w:b/>
          <w:sz w:val="24"/>
          <w:szCs w:val="24"/>
        </w:rPr>
      </w:pPr>
      <w:r w:rsidRPr="00A866B0">
        <w:rPr>
          <w:rFonts w:ascii="Arial" w:hAnsi="Arial" w:cs="Arial"/>
          <w:sz w:val="24"/>
          <w:szCs w:val="24"/>
        </w:rPr>
        <w:t xml:space="preserve">The </w:t>
      </w:r>
      <w:r>
        <w:rPr>
          <w:rFonts w:ascii="Arial" w:hAnsi="Arial" w:cs="Arial"/>
          <w:sz w:val="24"/>
          <w:szCs w:val="24"/>
        </w:rPr>
        <w:t>AMPR</w:t>
      </w:r>
      <w:r w:rsidRPr="00A866B0">
        <w:rPr>
          <w:rFonts w:ascii="Arial" w:hAnsi="Arial" w:cs="Arial"/>
          <w:sz w:val="24"/>
          <w:szCs w:val="24"/>
        </w:rPr>
        <w:t xml:space="preserve"> shall, subject to regulatory approvals, at any time, be entitled to repatriate their investment, profits earned on such investment and any additional amount resulting from the reinvested profits or appreciation of capital investment to any country abroad in foreign currency. Similarly, repayments of any foreign currency loans and interest and other charges thereon may also be repatriated in accordance with the terms and conditions of the said loans.</w:t>
      </w:r>
    </w:p>
    <w:p w:rsidR="005150E3" w:rsidRPr="00A866B0" w:rsidRDefault="005150E3" w:rsidP="005150E3">
      <w:pPr>
        <w:pStyle w:val="ListParagraph"/>
        <w:spacing w:after="0" w:line="240" w:lineRule="auto"/>
        <w:ind w:left="1260"/>
        <w:jc w:val="both"/>
        <w:rPr>
          <w:rFonts w:ascii="Arial" w:hAnsi="Arial" w:cs="Arial"/>
          <w:b/>
          <w:sz w:val="24"/>
          <w:szCs w:val="24"/>
        </w:rPr>
      </w:pPr>
    </w:p>
    <w:p w:rsidR="005150E3" w:rsidRPr="00A866B0" w:rsidRDefault="005150E3" w:rsidP="005150E3">
      <w:pPr>
        <w:pStyle w:val="ListParagraph"/>
        <w:numPr>
          <w:ilvl w:val="0"/>
          <w:numId w:val="6"/>
        </w:numPr>
        <w:spacing w:after="0" w:line="240" w:lineRule="auto"/>
        <w:ind w:left="1080"/>
        <w:jc w:val="both"/>
        <w:rPr>
          <w:rFonts w:ascii="Arial" w:hAnsi="Arial" w:cs="Arial"/>
          <w:b/>
          <w:sz w:val="24"/>
          <w:szCs w:val="24"/>
        </w:rPr>
      </w:pPr>
      <w:r w:rsidRPr="00A866B0">
        <w:rPr>
          <w:rFonts w:ascii="Arial" w:hAnsi="Arial" w:cs="Arial"/>
          <w:sz w:val="24"/>
          <w:szCs w:val="24"/>
        </w:rPr>
        <w:t xml:space="preserve">The </w:t>
      </w:r>
      <w:r>
        <w:rPr>
          <w:rFonts w:ascii="Arial" w:hAnsi="Arial" w:cs="Arial"/>
          <w:sz w:val="24"/>
          <w:szCs w:val="24"/>
        </w:rPr>
        <w:t>AMPR</w:t>
      </w:r>
      <w:r w:rsidRPr="00A866B0">
        <w:rPr>
          <w:rFonts w:ascii="Arial" w:hAnsi="Arial" w:cs="Arial"/>
          <w:sz w:val="24"/>
          <w:szCs w:val="24"/>
        </w:rPr>
        <w:t xml:space="preserve"> and the Project shall be accorded such treatment by the GOP that will not be less favorable than the industrial undertakings of similar type or such undertakings that have been set up with foreign direct investment. This article shall not limit the GOP’s discretion to provide a more favorable treatment to other industries or similar industries set-up in specially designated areas, whether set-up by local or foreign investments. </w:t>
      </w:r>
    </w:p>
    <w:p w:rsidR="005150E3" w:rsidRPr="00A866B0" w:rsidRDefault="005150E3" w:rsidP="005150E3">
      <w:pPr>
        <w:pStyle w:val="ListParagraph"/>
        <w:spacing w:after="0" w:line="240" w:lineRule="auto"/>
        <w:rPr>
          <w:rFonts w:ascii="Arial" w:hAnsi="Arial" w:cs="Arial"/>
          <w:b/>
          <w:sz w:val="24"/>
          <w:szCs w:val="24"/>
        </w:rPr>
      </w:pPr>
    </w:p>
    <w:p w:rsidR="005150E3" w:rsidRPr="00347236" w:rsidRDefault="005150E3" w:rsidP="005150E3">
      <w:pPr>
        <w:pStyle w:val="ListParagraph"/>
        <w:numPr>
          <w:ilvl w:val="0"/>
          <w:numId w:val="6"/>
        </w:numPr>
        <w:spacing w:after="0" w:line="240" w:lineRule="auto"/>
        <w:ind w:left="1080"/>
        <w:jc w:val="both"/>
        <w:rPr>
          <w:rFonts w:ascii="Arial" w:hAnsi="Arial" w:cs="Arial"/>
          <w:sz w:val="24"/>
          <w:szCs w:val="24"/>
        </w:rPr>
      </w:pPr>
      <w:r w:rsidRPr="00347236">
        <w:rPr>
          <w:rFonts w:ascii="Arial" w:hAnsi="Arial" w:cs="Arial"/>
          <w:sz w:val="24"/>
          <w:szCs w:val="24"/>
        </w:rPr>
        <w:t>This MOU may be amended or modified at any time through mutual written consent of the Parties.</w:t>
      </w:r>
    </w:p>
    <w:p w:rsidR="005150E3" w:rsidRPr="00347236" w:rsidRDefault="005150E3" w:rsidP="005150E3">
      <w:pPr>
        <w:pStyle w:val="ListParagraph"/>
        <w:spacing w:after="0" w:line="240" w:lineRule="auto"/>
        <w:ind w:left="1260"/>
        <w:rPr>
          <w:rFonts w:ascii="Arial" w:hAnsi="Arial" w:cs="Arial"/>
          <w:sz w:val="24"/>
          <w:szCs w:val="24"/>
        </w:rPr>
      </w:pPr>
    </w:p>
    <w:p w:rsidR="005150E3" w:rsidRPr="00347236" w:rsidRDefault="005150E3" w:rsidP="005150E3">
      <w:pPr>
        <w:pStyle w:val="ListParagraph"/>
        <w:numPr>
          <w:ilvl w:val="1"/>
          <w:numId w:val="8"/>
        </w:numPr>
        <w:spacing w:after="0" w:line="240" w:lineRule="auto"/>
        <w:ind w:left="540" w:firstLine="0"/>
        <w:jc w:val="both"/>
        <w:rPr>
          <w:rFonts w:ascii="Arial" w:hAnsi="Arial" w:cs="Arial"/>
          <w:sz w:val="24"/>
          <w:szCs w:val="24"/>
        </w:rPr>
      </w:pPr>
      <w:r w:rsidRPr="00347236">
        <w:rPr>
          <w:rFonts w:ascii="Arial" w:hAnsi="Arial" w:cs="Arial"/>
          <w:sz w:val="24"/>
          <w:szCs w:val="24"/>
        </w:rPr>
        <w:t>This MOU shall enter into force on the date of signatures by the Parties and shall remain valid unless terminated in writing by the Parties.</w:t>
      </w:r>
    </w:p>
    <w:p w:rsidR="005150E3" w:rsidRPr="00347236" w:rsidRDefault="005150E3" w:rsidP="005150E3">
      <w:pPr>
        <w:pStyle w:val="ListParagraph"/>
        <w:spacing w:after="0" w:line="240" w:lineRule="auto"/>
        <w:ind w:left="540" w:firstLine="360"/>
        <w:jc w:val="both"/>
        <w:rPr>
          <w:rFonts w:ascii="Arial" w:hAnsi="Arial" w:cs="Arial"/>
          <w:sz w:val="24"/>
          <w:szCs w:val="24"/>
        </w:rPr>
      </w:pPr>
    </w:p>
    <w:p w:rsidR="005150E3" w:rsidRPr="00347236" w:rsidRDefault="005150E3" w:rsidP="005150E3">
      <w:pPr>
        <w:pStyle w:val="ListParagraph"/>
        <w:numPr>
          <w:ilvl w:val="1"/>
          <w:numId w:val="8"/>
        </w:numPr>
        <w:spacing w:after="0" w:line="240" w:lineRule="auto"/>
        <w:ind w:left="540" w:firstLine="0"/>
        <w:jc w:val="both"/>
        <w:rPr>
          <w:rFonts w:ascii="Arial" w:hAnsi="Arial" w:cs="Arial"/>
          <w:sz w:val="24"/>
          <w:szCs w:val="24"/>
        </w:rPr>
      </w:pPr>
      <w:r w:rsidRPr="00347236">
        <w:rPr>
          <w:rFonts w:ascii="Arial" w:hAnsi="Arial" w:cs="Arial"/>
          <w:sz w:val="24"/>
          <w:szCs w:val="24"/>
        </w:rPr>
        <w:t>Either Party may terminate this MOU at any time by giving a notice of sixty (60) days to the other Party of its intention to terminate this MOU.</w:t>
      </w:r>
    </w:p>
    <w:p w:rsidR="005150E3" w:rsidRPr="00347236" w:rsidRDefault="005150E3" w:rsidP="005150E3">
      <w:pPr>
        <w:pStyle w:val="ListParagraph"/>
        <w:spacing w:after="0" w:line="240" w:lineRule="auto"/>
        <w:ind w:left="1260"/>
        <w:rPr>
          <w:rFonts w:ascii="Arial" w:hAnsi="Arial" w:cs="Arial"/>
          <w:sz w:val="24"/>
          <w:szCs w:val="24"/>
        </w:rPr>
      </w:pPr>
    </w:p>
    <w:p w:rsidR="005150E3" w:rsidRPr="00A866B0" w:rsidRDefault="005150E3" w:rsidP="005150E3">
      <w:pPr>
        <w:spacing w:after="0" w:line="240" w:lineRule="auto"/>
        <w:ind w:left="540"/>
        <w:jc w:val="both"/>
        <w:rPr>
          <w:rFonts w:ascii="Arial" w:hAnsi="Arial" w:cs="Arial"/>
          <w:b/>
          <w:sz w:val="24"/>
          <w:szCs w:val="24"/>
        </w:rPr>
      </w:pPr>
      <w:r w:rsidRPr="00A866B0">
        <w:rPr>
          <w:rFonts w:ascii="Arial" w:hAnsi="Arial" w:cs="Arial"/>
          <w:sz w:val="24"/>
          <w:szCs w:val="24"/>
        </w:rPr>
        <w:t xml:space="preserve">7. </w:t>
      </w:r>
      <w:r w:rsidRPr="00A866B0">
        <w:rPr>
          <w:rFonts w:ascii="Arial" w:hAnsi="Arial" w:cs="Arial"/>
          <w:sz w:val="24"/>
          <w:szCs w:val="24"/>
        </w:rPr>
        <w:tab/>
        <w:t>The general purpose of the</w:t>
      </w:r>
      <w:r w:rsidRPr="00A866B0">
        <w:rPr>
          <w:rFonts w:ascii="Arial" w:hAnsi="Arial" w:cs="Arial"/>
          <w:b/>
          <w:sz w:val="24"/>
          <w:szCs w:val="24"/>
        </w:rPr>
        <w:t xml:space="preserve"> </w:t>
      </w:r>
      <w:r w:rsidRPr="00A866B0">
        <w:rPr>
          <w:rFonts w:ascii="Arial" w:hAnsi="Arial" w:cs="Arial"/>
          <w:sz w:val="24"/>
          <w:szCs w:val="24"/>
        </w:rPr>
        <w:t xml:space="preserve">MOU is to express the sincerity and desire of the Parties to have more cooperation. </w:t>
      </w:r>
    </w:p>
    <w:p w:rsidR="005150E3" w:rsidRPr="00A866B0" w:rsidRDefault="005150E3" w:rsidP="005150E3">
      <w:pPr>
        <w:pStyle w:val="ListParagraph"/>
        <w:spacing w:after="0" w:line="240" w:lineRule="auto"/>
        <w:rPr>
          <w:rFonts w:ascii="Arial" w:hAnsi="Arial" w:cs="Arial"/>
          <w:b/>
          <w:sz w:val="24"/>
          <w:szCs w:val="24"/>
        </w:rPr>
      </w:pPr>
    </w:p>
    <w:p w:rsidR="005150E3" w:rsidRPr="00A866B0" w:rsidRDefault="005150E3" w:rsidP="005150E3">
      <w:pPr>
        <w:pStyle w:val="ListParagraph"/>
        <w:spacing w:after="0" w:line="240" w:lineRule="auto"/>
        <w:ind w:left="540"/>
        <w:jc w:val="both"/>
        <w:rPr>
          <w:rFonts w:ascii="Arial" w:hAnsi="Arial" w:cs="Arial"/>
          <w:b/>
          <w:sz w:val="24"/>
          <w:szCs w:val="24"/>
        </w:rPr>
      </w:pPr>
    </w:p>
    <w:p w:rsidR="005150E3" w:rsidRPr="00A866B0" w:rsidRDefault="005150E3" w:rsidP="005150E3">
      <w:pPr>
        <w:spacing w:after="0" w:line="240" w:lineRule="auto"/>
        <w:ind w:left="360"/>
        <w:jc w:val="both"/>
        <w:rPr>
          <w:rFonts w:ascii="Arial" w:hAnsi="Arial" w:cs="Arial"/>
          <w:sz w:val="24"/>
          <w:szCs w:val="24"/>
        </w:rPr>
      </w:pPr>
      <w:r w:rsidRPr="00A866B0">
        <w:rPr>
          <w:rFonts w:ascii="Arial" w:hAnsi="Arial" w:cs="Arial"/>
          <w:b/>
          <w:sz w:val="24"/>
          <w:szCs w:val="24"/>
        </w:rPr>
        <w:t xml:space="preserve">IN WITNESS WHEREOF, </w:t>
      </w:r>
      <w:r w:rsidRPr="00A866B0">
        <w:rPr>
          <w:rFonts w:ascii="Arial" w:hAnsi="Arial" w:cs="Arial"/>
          <w:sz w:val="24"/>
          <w:szCs w:val="24"/>
        </w:rPr>
        <w:t>the Parties have caused this MOU to be executed in two originals in the English language at the place and on the date first above written.</w:t>
      </w:r>
    </w:p>
    <w:p w:rsidR="005150E3" w:rsidRPr="00A866B0" w:rsidRDefault="005150E3" w:rsidP="0004336D">
      <w:pPr>
        <w:spacing w:after="0" w:line="480" w:lineRule="auto"/>
        <w:ind w:left="360"/>
        <w:rPr>
          <w:rFonts w:ascii="Arial" w:hAnsi="Arial" w:cs="Arial"/>
          <w:b/>
          <w:sz w:val="24"/>
          <w:szCs w:val="24"/>
        </w:rPr>
      </w:pPr>
    </w:p>
    <w:sectPr w:rsidR="005150E3" w:rsidRPr="00A866B0" w:rsidSect="00FF0000">
      <w:footerReference w:type="default" r:id="rId9"/>
      <w:pgSz w:w="11909" w:h="16834" w:code="9"/>
      <w:pgMar w:top="72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034" w:rsidRDefault="008D5034" w:rsidP="003F69FF">
      <w:pPr>
        <w:spacing w:after="0" w:line="240" w:lineRule="auto"/>
      </w:pPr>
      <w:r>
        <w:separator/>
      </w:r>
    </w:p>
  </w:endnote>
  <w:endnote w:type="continuationSeparator" w:id="0">
    <w:p w:rsidR="008D5034" w:rsidRDefault="008D5034" w:rsidP="003F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5601"/>
      <w:docPartObj>
        <w:docPartGallery w:val="Page Numbers (Bottom of Page)"/>
        <w:docPartUnique/>
      </w:docPartObj>
    </w:sdtPr>
    <w:sdtEndPr>
      <w:rPr>
        <w:noProof/>
      </w:rPr>
    </w:sdtEndPr>
    <w:sdtContent>
      <w:p w:rsidR="003F69FF" w:rsidRDefault="00183ECC">
        <w:pPr>
          <w:pStyle w:val="Footer"/>
          <w:jc w:val="right"/>
        </w:pPr>
        <w:r>
          <w:fldChar w:fldCharType="begin"/>
        </w:r>
        <w:r w:rsidR="003F69FF">
          <w:instrText xml:space="preserve"> PAGE   \* MERGEFORMAT </w:instrText>
        </w:r>
        <w:r>
          <w:fldChar w:fldCharType="separate"/>
        </w:r>
        <w:r w:rsidR="00617CFD">
          <w:rPr>
            <w:noProof/>
          </w:rPr>
          <w:t>1</w:t>
        </w:r>
        <w:r>
          <w:rPr>
            <w:noProof/>
          </w:rPr>
          <w:fldChar w:fldCharType="end"/>
        </w:r>
      </w:p>
    </w:sdtContent>
  </w:sdt>
  <w:p w:rsidR="003F69FF" w:rsidRDefault="003F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034" w:rsidRDefault="008D5034" w:rsidP="003F69FF">
      <w:pPr>
        <w:spacing w:after="0" w:line="240" w:lineRule="auto"/>
      </w:pPr>
      <w:r>
        <w:separator/>
      </w:r>
    </w:p>
  </w:footnote>
  <w:footnote w:type="continuationSeparator" w:id="0">
    <w:p w:rsidR="008D5034" w:rsidRDefault="008D5034" w:rsidP="003F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0E"/>
    <w:multiLevelType w:val="multilevel"/>
    <w:tmpl w:val="D88E6126"/>
    <w:lvl w:ilvl="0">
      <w:start w:val="1"/>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E5E5216"/>
    <w:multiLevelType w:val="hybridMultilevel"/>
    <w:tmpl w:val="DBA0063E"/>
    <w:lvl w:ilvl="0" w:tplc="E5FC7CC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2FBE"/>
    <w:multiLevelType w:val="multilevel"/>
    <w:tmpl w:val="80A4734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31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56437E9"/>
    <w:multiLevelType w:val="multilevel"/>
    <w:tmpl w:val="8E68B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442688"/>
    <w:multiLevelType w:val="multilevel"/>
    <w:tmpl w:val="9B627D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62642"/>
    <w:multiLevelType w:val="multilevel"/>
    <w:tmpl w:val="B812121C"/>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48D2575E"/>
    <w:multiLevelType w:val="hybridMultilevel"/>
    <w:tmpl w:val="878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33B61"/>
    <w:multiLevelType w:val="multilevel"/>
    <w:tmpl w:val="743CA3A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E8"/>
    <w:rsid w:val="0004336D"/>
    <w:rsid w:val="00071AED"/>
    <w:rsid w:val="00081D6E"/>
    <w:rsid w:val="000A3E83"/>
    <w:rsid w:val="000B1989"/>
    <w:rsid w:val="000E2C52"/>
    <w:rsid w:val="000E30DA"/>
    <w:rsid w:val="0010749B"/>
    <w:rsid w:val="001507A2"/>
    <w:rsid w:val="00183ECC"/>
    <w:rsid w:val="00185085"/>
    <w:rsid w:val="001A3856"/>
    <w:rsid w:val="001B0D80"/>
    <w:rsid w:val="001C0C58"/>
    <w:rsid w:val="001F715B"/>
    <w:rsid w:val="00237D2F"/>
    <w:rsid w:val="002438A8"/>
    <w:rsid w:val="00245C4D"/>
    <w:rsid w:val="00284A5C"/>
    <w:rsid w:val="002A2630"/>
    <w:rsid w:val="002A4E10"/>
    <w:rsid w:val="002B0118"/>
    <w:rsid w:val="002C50BD"/>
    <w:rsid w:val="002D3768"/>
    <w:rsid w:val="002D6294"/>
    <w:rsid w:val="002E4186"/>
    <w:rsid w:val="002E63CF"/>
    <w:rsid w:val="002E700D"/>
    <w:rsid w:val="002F13D7"/>
    <w:rsid w:val="00314977"/>
    <w:rsid w:val="00315E11"/>
    <w:rsid w:val="00347236"/>
    <w:rsid w:val="00354613"/>
    <w:rsid w:val="003549C6"/>
    <w:rsid w:val="0037228D"/>
    <w:rsid w:val="00384D92"/>
    <w:rsid w:val="003A01BE"/>
    <w:rsid w:val="003D6B84"/>
    <w:rsid w:val="003D79EC"/>
    <w:rsid w:val="003F4921"/>
    <w:rsid w:val="003F69FF"/>
    <w:rsid w:val="00410A74"/>
    <w:rsid w:val="0041464B"/>
    <w:rsid w:val="0044788C"/>
    <w:rsid w:val="0045284F"/>
    <w:rsid w:val="004C408B"/>
    <w:rsid w:val="0050642B"/>
    <w:rsid w:val="005075A6"/>
    <w:rsid w:val="005150E3"/>
    <w:rsid w:val="00536D34"/>
    <w:rsid w:val="00557679"/>
    <w:rsid w:val="0057662C"/>
    <w:rsid w:val="005768EE"/>
    <w:rsid w:val="00581B54"/>
    <w:rsid w:val="005847B4"/>
    <w:rsid w:val="005B055C"/>
    <w:rsid w:val="005B0740"/>
    <w:rsid w:val="005C28E0"/>
    <w:rsid w:val="005C449B"/>
    <w:rsid w:val="005C5521"/>
    <w:rsid w:val="005C71F0"/>
    <w:rsid w:val="006048EC"/>
    <w:rsid w:val="00605B1F"/>
    <w:rsid w:val="006137EF"/>
    <w:rsid w:val="00617CFD"/>
    <w:rsid w:val="00623C9F"/>
    <w:rsid w:val="006370DF"/>
    <w:rsid w:val="00663A42"/>
    <w:rsid w:val="006724E8"/>
    <w:rsid w:val="00676CB4"/>
    <w:rsid w:val="00696E09"/>
    <w:rsid w:val="006B027E"/>
    <w:rsid w:val="006B084F"/>
    <w:rsid w:val="006C558B"/>
    <w:rsid w:val="006D2751"/>
    <w:rsid w:val="007006CA"/>
    <w:rsid w:val="00731AC8"/>
    <w:rsid w:val="007362B8"/>
    <w:rsid w:val="00755681"/>
    <w:rsid w:val="00791629"/>
    <w:rsid w:val="007A6B66"/>
    <w:rsid w:val="007B0417"/>
    <w:rsid w:val="007C1067"/>
    <w:rsid w:val="007D383A"/>
    <w:rsid w:val="007F6382"/>
    <w:rsid w:val="0081297A"/>
    <w:rsid w:val="00814A57"/>
    <w:rsid w:val="00825C03"/>
    <w:rsid w:val="008510E0"/>
    <w:rsid w:val="0086099C"/>
    <w:rsid w:val="008833D3"/>
    <w:rsid w:val="0088550F"/>
    <w:rsid w:val="008869DA"/>
    <w:rsid w:val="008A436A"/>
    <w:rsid w:val="008C18BE"/>
    <w:rsid w:val="008D5034"/>
    <w:rsid w:val="008D6D75"/>
    <w:rsid w:val="00902530"/>
    <w:rsid w:val="00906193"/>
    <w:rsid w:val="00940682"/>
    <w:rsid w:val="00950447"/>
    <w:rsid w:val="00981110"/>
    <w:rsid w:val="009815B4"/>
    <w:rsid w:val="009A24D8"/>
    <w:rsid w:val="009A27FC"/>
    <w:rsid w:val="009E66B5"/>
    <w:rsid w:val="009E7A08"/>
    <w:rsid w:val="00A76BD4"/>
    <w:rsid w:val="00A8158C"/>
    <w:rsid w:val="00A84A66"/>
    <w:rsid w:val="00A866B0"/>
    <w:rsid w:val="00AC47A1"/>
    <w:rsid w:val="00AF78FE"/>
    <w:rsid w:val="00B06B77"/>
    <w:rsid w:val="00B53F55"/>
    <w:rsid w:val="00B56F4A"/>
    <w:rsid w:val="00B862D2"/>
    <w:rsid w:val="00B95F72"/>
    <w:rsid w:val="00BC5ACC"/>
    <w:rsid w:val="00BC7170"/>
    <w:rsid w:val="00BE3482"/>
    <w:rsid w:val="00C373C5"/>
    <w:rsid w:val="00C55621"/>
    <w:rsid w:val="00C7626A"/>
    <w:rsid w:val="00CB3B10"/>
    <w:rsid w:val="00CD744D"/>
    <w:rsid w:val="00CD7B2E"/>
    <w:rsid w:val="00CE3E8F"/>
    <w:rsid w:val="00CE48EA"/>
    <w:rsid w:val="00D46EBD"/>
    <w:rsid w:val="00D65207"/>
    <w:rsid w:val="00D72CC3"/>
    <w:rsid w:val="00DA204E"/>
    <w:rsid w:val="00DC2160"/>
    <w:rsid w:val="00DD586E"/>
    <w:rsid w:val="00DE07C6"/>
    <w:rsid w:val="00E077B2"/>
    <w:rsid w:val="00E13525"/>
    <w:rsid w:val="00E26CDD"/>
    <w:rsid w:val="00E355A5"/>
    <w:rsid w:val="00E63EA4"/>
    <w:rsid w:val="00EF4BD6"/>
    <w:rsid w:val="00F66582"/>
    <w:rsid w:val="00F777C4"/>
    <w:rsid w:val="00FA291B"/>
    <w:rsid w:val="00FA4E14"/>
    <w:rsid w:val="00FD4A7E"/>
    <w:rsid w:val="00FF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626A-1C1B-4927-8F77-06EC4ED0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34</dc:creator>
  <cp:lastModifiedBy>BOI 27</cp:lastModifiedBy>
  <cp:revision>2</cp:revision>
  <cp:lastPrinted>2015-12-10T05:55:00Z</cp:lastPrinted>
  <dcterms:created xsi:type="dcterms:W3CDTF">2015-12-10T14:45:00Z</dcterms:created>
  <dcterms:modified xsi:type="dcterms:W3CDTF">2015-12-10T14:45:00Z</dcterms:modified>
</cp:coreProperties>
</file>